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topLinePunct w:val="0"/>
        <w:bidi w:val="0"/>
        <w:spacing w:line="360" w:lineRule="auto"/>
        <w:jc w:val="center"/>
        <w:rPr>
          <w:rFonts w:hint="eastAsia" w:ascii="宋体" w:hAnsi="宋体" w:eastAsia="宋体" w:cs="宋体"/>
          <w:b/>
          <w:bCs w:val="0"/>
          <w:color w:val="auto"/>
          <w:sz w:val="24"/>
          <w:szCs w:val="24"/>
          <w:lang w:val="en-US" w:eastAsia="zh-CN"/>
        </w:rPr>
      </w:pPr>
      <w:bookmarkStart w:id="0" w:name="_GoBack"/>
      <w:bookmarkEnd w:id="0"/>
    </w:p>
    <w:p>
      <w:pPr>
        <w:keepNext w:val="0"/>
        <w:keepLines w:val="0"/>
        <w:pageBreakBefore w:val="0"/>
        <w:kinsoku/>
        <w:wordWrap/>
        <w:topLinePunct w:val="0"/>
        <w:bidi w:val="0"/>
        <w:spacing w:line="360" w:lineRule="auto"/>
        <w:jc w:val="center"/>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真信笃行  以学促干  推进马克思主义学院高质量发展</w:t>
      </w:r>
    </w:p>
    <w:p>
      <w:pPr>
        <w:keepNext w:val="0"/>
        <w:keepLines w:val="0"/>
        <w:pageBreakBefore w:val="0"/>
        <w:kinsoku/>
        <w:wordWrap/>
        <w:topLinePunct w:val="0"/>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——马克思主义学院党总支主题教育活动工作情况总结</w:t>
      </w:r>
    </w:p>
    <w:p>
      <w:pPr>
        <w:keepNext w:val="0"/>
        <w:keepLines w:val="0"/>
        <w:pageBreakBefore w:val="0"/>
        <w:kinsoku/>
        <w:wordWrap/>
        <w:topLinePunct w:val="0"/>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陈锡德</w:t>
      </w:r>
    </w:p>
    <w:p>
      <w:pPr>
        <w:keepNext w:val="0"/>
        <w:keepLines w:val="0"/>
        <w:pageBreakBefore w:val="0"/>
        <w:widowControl w:val="0"/>
        <w:kinsoku/>
        <w:wordWrap/>
        <w:topLinePunct w:val="0"/>
        <w:autoSpaceDE/>
        <w:autoSpaceDN/>
        <w:bidi w:val="0"/>
        <w:adjustRightInd/>
        <w:spacing w:line="360" w:lineRule="auto"/>
        <w:ind w:firstLine="683"/>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根据党中央和辽宁省委、省委教育工委关于第二批开展学习贯彻习近平新时代中国特色社会主义思想主题教育安排</w:t>
      </w:r>
      <w:r>
        <w:rPr>
          <w:rFonts w:hint="eastAsia" w:ascii="宋体" w:hAnsi="宋体" w:eastAsia="宋体" w:cs="宋体"/>
          <w:sz w:val="24"/>
          <w:szCs w:val="24"/>
          <w:lang w:val="en-US" w:eastAsia="zh-CN"/>
        </w:rPr>
        <w:t>和大连艺术学院党委的统一部署和安排，结合马克思主义学院工作实际，本着</w:t>
      </w:r>
      <w:r>
        <w:rPr>
          <w:rFonts w:hint="eastAsia" w:ascii="宋体" w:hAnsi="宋体" w:eastAsia="宋体" w:cs="宋体"/>
          <w:b w:val="0"/>
          <w:bCs/>
          <w:color w:val="auto"/>
          <w:sz w:val="24"/>
          <w:szCs w:val="24"/>
          <w:lang w:eastAsia="zh-CN"/>
        </w:rPr>
        <w:t>牢牢把握总要求，牢牢把握根本任务，牢牢把握具体目标</w:t>
      </w:r>
      <w:r>
        <w:rPr>
          <w:rFonts w:hint="eastAsia" w:ascii="宋体" w:hAnsi="宋体" w:eastAsia="宋体" w:cs="宋体"/>
          <w:b w:val="0"/>
          <w:bCs/>
          <w:color w:val="auto"/>
          <w:sz w:val="24"/>
          <w:szCs w:val="24"/>
          <w:lang w:val="en-US" w:eastAsia="zh-CN"/>
        </w:rPr>
        <w:t>的总要求，我们特别</w:t>
      </w:r>
      <w:r>
        <w:rPr>
          <w:rFonts w:hint="eastAsia" w:ascii="宋体" w:hAnsi="宋体" w:eastAsia="宋体" w:cs="宋体"/>
          <w:sz w:val="24"/>
          <w:szCs w:val="24"/>
          <w:lang w:val="en-US" w:eastAsia="zh-CN"/>
        </w:rPr>
        <w:t>注重理论武装，注重分类指导，注重强基固本，注重统筹协调，注重领导指导，注重解决实际问题。牢牢把握坚持凝心铸魂筑牢根本、锤炼品格强化忠诚、实干担当促进发展、践行宗旨为民造福、廉洁奉公树立新风的具体目标和要求，扎实抓好主题教育落实。</w:t>
      </w:r>
    </w:p>
    <w:p>
      <w:pPr>
        <w:keepNext w:val="0"/>
        <w:keepLines w:val="0"/>
        <w:pageBreakBefore w:val="0"/>
        <w:widowControl/>
        <w:kinsoku/>
        <w:wordWrap/>
        <w:topLinePunct w:val="0"/>
        <w:autoSpaceDE w:val="0"/>
        <w:autoSpaceDN w:val="0"/>
        <w:bidi w:val="0"/>
        <w:adjustRightInd w:val="0"/>
        <w:spacing w:line="360" w:lineRule="auto"/>
        <w:ind w:firstLine="480" w:firstLineChars="200"/>
        <w:jc w:val="both"/>
        <w:textAlignment w:val="baseline"/>
        <w:rPr>
          <w:rFonts w:hint="eastAsia" w:ascii="宋体" w:hAnsi="宋体" w:eastAsia="宋体" w:cs="宋体"/>
          <w:spacing w:val="14"/>
          <w:sz w:val="24"/>
          <w:szCs w:val="24"/>
          <w:lang w:eastAsia="zh-CN"/>
        </w:rPr>
      </w:pPr>
      <w:r>
        <w:rPr>
          <w:rFonts w:hint="eastAsia" w:ascii="宋体" w:hAnsi="宋体" w:eastAsia="宋体" w:cs="宋体"/>
          <w:b w:val="0"/>
          <w:bCs/>
          <w:color w:val="auto"/>
          <w:sz w:val="24"/>
          <w:szCs w:val="24"/>
        </w:rPr>
        <w:t>一、深刻认识</w:t>
      </w:r>
      <w:r>
        <w:rPr>
          <w:rFonts w:hint="eastAsia" w:ascii="宋体" w:hAnsi="宋体" w:eastAsia="宋体" w:cs="宋体"/>
          <w:b w:val="0"/>
          <w:bCs/>
          <w:color w:val="auto"/>
          <w:sz w:val="24"/>
          <w:szCs w:val="24"/>
          <w:lang w:val="en-US" w:eastAsia="zh-CN"/>
        </w:rPr>
        <w:t>开展</w:t>
      </w:r>
      <w:r>
        <w:rPr>
          <w:rFonts w:hint="eastAsia" w:ascii="宋体" w:hAnsi="宋体" w:eastAsia="宋体" w:cs="宋体"/>
          <w:b w:val="0"/>
          <w:bCs/>
          <w:color w:val="auto"/>
          <w:sz w:val="24"/>
          <w:szCs w:val="24"/>
        </w:rPr>
        <w:t>学习贯彻习近平新时代中国特色社会主义思想</w:t>
      </w:r>
      <w:r>
        <w:rPr>
          <w:rFonts w:hint="eastAsia" w:ascii="宋体" w:hAnsi="宋体" w:eastAsia="宋体" w:cs="宋体"/>
          <w:b w:val="0"/>
          <w:bCs/>
          <w:color w:val="auto"/>
          <w:sz w:val="24"/>
          <w:szCs w:val="24"/>
          <w:lang w:val="en-US" w:eastAsia="zh-CN"/>
        </w:rPr>
        <w:t>主题教育的</w:t>
      </w:r>
      <w:r>
        <w:rPr>
          <w:rFonts w:hint="eastAsia" w:ascii="宋体" w:hAnsi="宋体" w:eastAsia="宋体" w:cs="宋体"/>
          <w:b w:val="0"/>
          <w:bCs/>
          <w:color w:val="auto"/>
          <w:sz w:val="24"/>
          <w:szCs w:val="24"/>
        </w:rPr>
        <w:t>重大意义</w:t>
      </w:r>
      <w:r>
        <w:rPr>
          <w:rFonts w:hint="eastAsia" w:ascii="宋体" w:hAnsi="宋体" w:eastAsia="宋体" w:cs="宋体"/>
          <w:b w:val="0"/>
          <w:bCs/>
          <w:color w:val="auto"/>
          <w:sz w:val="24"/>
          <w:szCs w:val="24"/>
          <w:lang w:eastAsia="zh-CN"/>
        </w:rPr>
        <w:t>，</w:t>
      </w:r>
      <w:r>
        <w:rPr>
          <w:rFonts w:hint="eastAsia" w:ascii="宋体" w:hAnsi="宋体" w:eastAsia="宋体" w:cs="宋体"/>
          <w:spacing w:val="14"/>
          <w:sz w:val="24"/>
          <w:szCs w:val="24"/>
          <w:lang w:eastAsia="zh-CN"/>
        </w:rPr>
        <w:t>要切实加强对主题教育的组织领导</w:t>
      </w:r>
    </w:p>
    <w:p>
      <w:pPr>
        <w:keepNext w:val="0"/>
        <w:keepLines w:val="0"/>
        <w:pageBreakBefore w:val="0"/>
        <w:widowControl/>
        <w:numPr>
          <w:ilvl w:val="0"/>
          <w:numId w:val="0"/>
        </w:numPr>
        <w:kinsoku/>
        <w:wordWrap/>
        <w:topLinePunct w:val="0"/>
        <w:autoSpaceDE w:val="0"/>
        <w:autoSpaceDN w:val="0"/>
        <w:bidi w:val="0"/>
        <w:adjustRightInd w:val="0"/>
        <w:spacing w:line="360" w:lineRule="auto"/>
        <w:ind w:firstLine="536" w:firstLineChars="200"/>
        <w:jc w:val="both"/>
        <w:textAlignment w:val="baseline"/>
        <w:rPr>
          <w:rFonts w:hint="eastAsia" w:ascii="宋体" w:hAnsi="宋体" w:eastAsia="宋体" w:cs="宋体"/>
          <w:sz w:val="24"/>
          <w:szCs w:val="24"/>
          <w:highlight w:val="none"/>
          <w:lang w:eastAsia="zh-CN"/>
        </w:rPr>
      </w:pPr>
      <w:r>
        <w:rPr>
          <w:rFonts w:hint="eastAsia" w:ascii="宋体" w:hAnsi="宋体" w:eastAsia="宋体" w:cs="宋体"/>
          <w:b w:val="0"/>
          <w:bCs w:val="0"/>
          <w:spacing w:val="14"/>
          <w:sz w:val="24"/>
          <w:szCs w:val="24"/>
          <w:lang w:val="en-US" w:eastAsia="zh-CN"/>
        </w:rPr>
        <w:t>主题教育活动伊始，学院党总支就组织召开党员大会，传达学习上级文件精神，部署主题教育活动的整体方案和具体工作。大会上</w:t>
      </w:r>
      <w:r>
        <w:rPr>
          <w:rFonts w:hint="eastAsia" w:ascii="宋体" w:hAnsi="宋体" w:eastAsia="宋体" w:cs="宋体"/>
          <w:sz w:val="24"/>
          <w:szCs w:val="24"/>
          <w:lang w:val="en-US" w:eastAsia="zh-CN"/>
        </w:rPr>
        <w:t>副院长任引沁领学《学习贯彻习近平新时代中国特色社会主义思想主题教育工作会议上的讲话》，党总支副书记林欣馨传达《大连艺术学院学习贯彻习近平新时代中国特色社会主义思想主题教育实施方案》，</w:t>
      </w:r>
      <w:r>
        <w:rPr>
          <w:rFonts w:hint="eastAsia" w:ascii="宋体" w:hAnsi="宋体" w:eastAsia="宋体" w:cs="宋体"/>
          <w:b w:val="0"/>
          <w:bCs w:val="0"/>
          <w:spacing w:val="14"/>
          <w:sz w:val="24"/>
          <w:szCs w:val="24"/>
          <w:lang w:val="en-US" w:eastAsia="zh-CN"/>
        </w:rPr>
        <w:t>党总支书记陳锡德做了动员讲话，他从</w:t>
      </w:r>
      <w:r>
        <w:rPr>
          <w:rFonts w:hint="eastAsia" w:ascii="宋体" w:hAnsi="宋体" w:eastAsia="宋体" w:cs="宋体"/>
          <w:sz w:val="24"/>
          <w:szCs w:val="24"/>
          <w:lang w:val="en-US" w:eastAsia="zh-CN"/>
        </w:rPr>
        <w:t>深刻认识开展学习贯彻习近平新时代中国特色社会主义思想主题教育的重大意义，全面把握主题教育的目标要求，扎实搞好主题教育的组织实施等方面对活动进行了总部署、总动员。强调指出要层层压实责任，一抓到底。还成立了主题教育活动办</w:t>
      </w:r>
      <w:r>
        <w:rPr>
          <w:rFonts w:hint="eastAsia" w:ascii="宋体" w:hAnsi="宋体" w:eastAsia="宋体" w:cs="宋体"/>
          <w:b w:val="0"/>
          <w:bCs w:val="0"/>
          <w:spacing w:val="14"/>
          <w:sz w:val="24"/>
          <w:szCs w:val="24"/>
          <w:lang w:val="en-US" w:eastAsia="zh-CN"/>
        </w:rPr>
        <w:t>公室，</w:t>
      </w:r>
      <w:r>
        <w:rPr>
          <w:rFonts w:hint="eastAsia" w:ascii="宋体" w:hAnsi="宋体" w:eastAsia="宋体" w:cs="宋体"/>
          <w:sz w:val="24"/>
          <w:szCs w:val="24"/>
          <w:highlight w:val="none"/>
        </w:rPr>
        <w:t>办公室下设</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个工作组</w:t>
      </w:r>
      <w:r>
        <w:rPr>
          <w:rFonts w:hint="eastAsia" w:ascii="宋体" w:hAnsi="宋体" w:eastAsia="宋体" w:cs="宋体"/>
          <w:sz w:val="24"/>
          <w:szCs w:val="24"/>
          <w:highlight w:val="none"/>
          <w:lang w:val="en-US" w:eastAsia="zh-CN"/>
        </w:rPr>
        <w:t>分别是：</w:t>
      </w:r>
      <w:r>
        <w:rPr>
          <w:rFonts w:hint="eastAsia" w:ascii="宋体" w:hAnsi="宋体" w:eastAsia="宋体" w:cs="宋体"/>
          <w:sz w:val="24"/>
          <w:szCs w:val="24"/>
          <w:highlight w:val="none"/>
        </w:rPr>
        <w:t>理论学习组</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推动发展组</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检视整改组</w:t>
      </w:r>
      <w:r>
        <w:rPr>
          <w:rFonts w:hint="eastAsia" w:ascii="宋体" w:hAnsi="宋体" w:eastAsia="宋体" w:cs="宋体"/>
          <w:sz w:val="24"/>
          <w:szCs w:val="24"/>
          <w:highlight w:val="none"/>
          <w:lang w:eastAsia="zh-CN"/>
        </w:rPr>
        <w:t>。</w:t>
      </w:r>
    </w:p>
    <w:p>
      <w:pPr>
        <w:keepNext w:val="0"/>
        <w:keepLines w:val="0"/>
        <w:pageBreakBefore w:val="0"/>
        <w:widowControl w:val="0"/>
        <w:kinsoku/>
        <w:wordWrap/>
        <w:topLinePunct w:val="0"/>
        <w:autoSpaceDE/>
        <w:autoSpaceDN/>
        <w:bidi w:val="0"/>
        <w:adjustRightInd/>
        <w:spacing w:line="360" w:lineRule="auto"/>
        <w:ind w:firstLine="683"/>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二、</w:t>
      </w:r>
      <w:r>
        <w:rPr>
          <w:rFonts w:hint="eastAsia" w:ascii="宋体" w:hAnsi="宋体" w:eastAsia="宋体" w:cs="宋体"/>
          <w:b w:val="0"/>
          <w:bCs/>
          <w:color w:val="auto"/>
          <w:sz w:val="24"/>
          <w:szCs w:val="24"/>
        </w:rPr>
        <w:t>全面把握</w:t>
      </w:r>
      <w:r>
        <w:rPr>
          <w:rFonts w:hint="eastAsia" w:ascii="宋体" w:hAnsi="宋体" w:eastAsia="宋体" w:cs="宋体"/>
          <w:b w:val="0"/>
          <w:bCs/>
          <w:color w:val="auto"/>
          <w:sz w:val="24"/>
          <w:szCs w:val="24"/>
          <w:lang w:val="en-US" w:eastAsia="zh-CN"/>
        </w:rPr>
        <w:t>主题教育的</w:t>
      </w:r>
      <w:r>
        <w:rPr>
          <w:rFonts w:hint="eastAsia" w:ascii="宋体" w:hAnsi="宋体" w:eastAsia="宋体" w:cs="宋体"/>
          <w:b w:val="0"/>
          <w:bCs/>
          <w:color w:val="auto"/>
          <w:sz w:val="24"/>
          <w:szCs w:val="24"/>
        </w:rPr>
        <w:t>目标要求</w:t>
      </w:r>
      <w:r>
        <w:rPr>
          <w:rFonts w:hint="eastAsia" w:ascii="宋体" w:hAnsi="宋体" w:eastAsia="宋体" w:cs="宋体"/>
          <w:sz w:val="24"/>
          <w:szCs w:val="24"/>
          <w:lang w:val="en-US" w:eastAsia="zh-CN"/>
        </w:rPr>
        <w:t>，</w:t>
      </w:r>
      <w:r>
        <w:rPr>
          <w:rFonts w:hint="eastAsia" w:ascii="宋体" w:hAnsi="宋体" w:eastAsia="宋体" w:cs="宋体"/>
          <w:b w:val="0"/>
          <w:bCs/>
          <w:color w:val="auto"/>
          <w:sz w:val="24"/>
          <w:szCs w:val="24"/>
        </w:rPr>
        <w:t>扎实搞好</w:t>
      </w:r>
      <w:r>
        <w:rPr>
          <w:rFonts w:hint="eastAsia" w:ascii="宋体" w:hAnsi="宋体" w:eastAsia="宋体" w:cs="宋体"/>
          <w:b w:val="0"/>
          <w:bCs/>
          <w:color w:val="auto"/>
          <w:sz w:val="24"/>
          <w:szCs w:val="24"/>
          <w:lang w:val="en-US" w:eastAsia="zh-CN"/>
        </w:rPr>
        <w:t>主题教育的</w:t>
      </w:r>
      <w:r>
        <w:rPr>
          <w:rFonts w:hint="eastAsia" w:ascii="宋体" w:hAnsi="宋体" w:eastAsia="宋体" w:cs="宋体"/>
          <w:b w:val="0"/>
          <w:bCs/>
          <w:color w:val="auto"/>
          <w:sz w:val="24"/>
          <w:szCs w:val="24"/>
        </w:rPr>
        <w:t>组织实施</w:t>
      </w:r>
      <w:r>
        <w:rPr>
          <w:rFonts w:hint="eastAsia" w:ascii="宋体" w:hAnsi="宋体" w:eastAsia="宋体" w:cs="宋体"/>
          <w:b w:val="0"/>
          <w:bCs/>
          <w:color w:val="auto"/>
          <w:sz w:val="24"/>
          <w:szCs w:val="24"/>
          <w:lang w:eastAsia="zh-CN"/>
        </w:rPr>
        <w:t>。</w:t>
      </w:r>
    </w:p>
    <w:p>
      <w:pPr>
        <w:keepNext w:val="0"/>
        <w:keepLines w:val="0"/>
        <w:pageBreakBefore w:val="0"/>
        <w:kinsoku/>
        <w:wordWrap/>
        <w:topLinePunct w:val="0"/>
        <w:bidi w:val="0"/>
        <w:spacing w:line="360" w:lineRule="auto"/>
        <w:ind w:firstLine="482" w:firstLineChars="200"/>
        <w:rPr>
          <w:rFonts w:hint="eastAsia" w:ascii="宋体" w:hAnsi="宋体" w:eastAsia="宋体" w:cs="宋体"/>
          <w:sz w:val="24"/>
          <w:szCs w:val="24"/>
          <w:lang w:val="en-US" w:eastAsia="zh-CN"/>
        </w:rPr>
      </w:pPr>
      <w:r>
        <w:rPr>
          <w:rFonts w:hint="eastAsia" w:ascii="宋体" w:hAnsi="宋体" w:eastAsia="宋体" w:cs="宋体"/>
          <w:b/>
          <w:bCs w:val="0"/>
          <w:color w:val="auto"/>
          <w:sz w:val="24"/>
          <w:szCs w:val="24"/>
          <w:lang w:eastAsia="zh-CN"/>
        </w:rPr>
        <w:t>（一）精心组织理论学习。</w:t>
      </w:r>
      <w:r>
        <w:rPr>
          <w:rFonts w:hint="eastAsia" w:ascii="宋体" w:hAnsi="宋体" w:eastAsia="宋体" w:cs="宋体"/>
          <w:sz w:val="24"/>
          <w:szCs w:val="24"/>
          <w:lang w:val="en-US" w:eastAsia="zh-CN"/>
        </w:rPr>
        <w:t>党的二十大报告指出：“用党的创新理论武装全党是党的思想建设的根本任务。”在主题教育活动的总要求中学在首位。这个问题上通过给广大党员讲清学什么，为什么学，怎么学的三重逻辑，把学思想落到实处。</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是，明确学什么？全体党员干部要以此次主题教育为契机，切实学懂弄通做实习近平新时代中国特色社会主义思想的核心要义、主要观点与立场方法。为什么学？是学习的必要性，学思想就是要凝心铸魂。思想建设是党的基础性建设，思想建党、理论强党是中国共产党管党治党的一贯传统。习近平新时代中国特色社会主义思想是当代中国马克思主义、二十一世纪马克思主义，是中华文化和中国精神的时代精华，实现了马克思主义中国化新的飞跃。这就要求全党上下必须认真学习习近平新时代中国特色社会主义思想，树立坚定理想信念，解决好世界观、人生观、价值观这个总开关的问题。</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二是，关于怎么学，既是世界观也是方法论。这是我们在主题教育活动中必须要认真研究和对待的问题，如果这个问题不解决好就会把学习当作一种形式走过场，和实际工作脱节，违背中央的初衷。要</w:t>
      </w:r>
      <w:r>
        <w:rPr>
          <w:rFonts w:hint="eastAsia" w:ascii="宋体" w:hAnsi="宋体" w:eastAsia="宋体" w:cs="宋体"/>
          <w:b/>
          <w:bCs/>
          <w:sz w:val="24"/>
          <w:szCs w:val="24"/>
          <w:lang w:val="en-US" w:eastAsia="zh-CN"/>
        </w:rPr>
        <w:t>“学”“思”结合，发挥带头、带动作用。</w:t>
      </w:r>
    </w:p>
    <w:p>
      <w:pPr>
        <w:keepNext w:val="0"/>
        <w:keepLines w:val="0"/>
        <w:pageBreakBefore w:val="0"/>
        <w:numPr>
          <w:ilvl w:val="0"/>
          <w:numId w:val="0"/>
        </w:numPr>
        <w:kinsoku/>
        <w:wordWrap/>
        <w:topLinePunct w:val="0"/>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习近平总书记强调：“干部的党性修养、道德水平，不会随着党龄工龄的增长而自然提高，也不会随着职务的升迁而自然提高，必须强化自我修炼、自我约束、自我改造。”我们充分的认识到学习的目的是为了在认识世界的同时改造世界。改造世界包括改造主观世界和客观世界两个方面。在改造主观世界方面，我们提出，马克思主义学院的党员要在全校首先带头学习。在学习形式上我们采取了集中学习、分散学习、线上学习、线下学习、教研组学习、专班研讨学习等等多种方式，通过学习思考加强党性修养方面的问题。党性修养常抓常新，不能荒废一刻。在改造客观世界方面，充分发挥理论队伍的优势作用。我们利用课余时间主动的开展调研，到机关、企事业单位、部队、街道、社区、到各二级学院党支部等单位广泛开展调研。在调研中我们发现，目前大家不是不重视理论学习，而是普遍存在不会理论学习的现象，尤其是结合实际开展理论学习。我们深究党性修养不好的原因，一个关键因素便是理论水平不高。开展主题教育，必须切实推动广大党员把“讲党性、重品行、作表率”结合起来。在调研的基础上，我们又回到办公室组织召开党员大会、支委会、马克思主义学院骨干教师教研会，形成主题教育宣讲问题，组织专班专人围绕问题写讲义、出答案、去宣讲。到目前为止我们已经结合调研情况形成以教育之强国，夯实国家之富——习近平教育思想、构建人类命运共同体、振兴东北老工业基地之大连行动等17个专题的宣讲报告，并以菜单式教学需求方式提供给有需要的部门。</w:t>
      </w:r>
    </w:p>
    <w:p>
      <w:pPr>
        <w:keepNext w:val="0"/>
        <w:keepLines w:val="0"/>
        <w:pageBreakBefore w:val="0"/>
        <w:numPr>
          <w:ilvl w:val="0"/>
          <w:numId w:val="0"/>
        </w:numPr>
        <w:kinsoku/>
        <w:wordWrap/>
        <w:topLinePunct w:val="0"/>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跟进学方面，我们与时俱进的开展学习习近平新时代中国特色社会主义新思想。在中央召开宣传文化工作座谈会以后，我们第一时间就组织党员干部进行学习，在辽宁省委省政府召开同时按照我们的学习计划形成了宣讲方案，带头学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党的二十大报告指出：“健全用党的创新理论武装全党、教育人民、指导实践工作体系。”在全党开展学习贯彻习近平新时代中国特色社会主义思想主题教育的落脚点就在于实践。习近平新时代中国特色社会主义思想是一个蕴含丰富哲理的思想宝库，广大党员要从中感悟为民造福的正确立场和科学方法。全体党员必须在实践中坚持以人民为中心的发展思想，切实将党的政策落实到位，集中精力解决好人民群众面临的急难愁盼问题。</w:t>
      </w:r>
    </w:p>
    <w:p>
      <w:pPr>
        <w:keepNext w:val="0"/>
        <w:keepLines w:val="0"/>
        <w:pageBreakBefore w:val="0"/>
        <w:widowControl/>
        <w:numPr>
          <w:ilvl w:val="0"/>
          <w:numId w:val="0"/>
        </w:numPr>
        <w:kinsoku/>
        <w:wordWrap/>
        <w:overflowPunct w:val="0"/>
        <w:topLinePunct w:val="0"/>
        <w:autoSpaceDE w:val="0"/>
        <w:autoSpaceDN w:val="0"/>
        <w:bidi w:val="0"/>
        <w:adjustRightInd w:val="0"/>
        <w:spacing w:line="360" w:lineRule="auto"/>
        <w:ind w:firstLine="480" w:firstLineChars="20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行，就是行动，就是认同。我们把习近平新时代中国特色社会主义思想，送到各个需要的单位部门。到目前为止已经有10名教师分别到社区到街道到各二级学院宣讲30多场，办出具有大连艺术学院特色的“行走的思政课”，取得了各方面的广泛好评。文管学院教师党支部书记潘红艳：很荣幸此次能够聆听任引沁教授的精彩党课，听后受益匪浅。此次党课题目为《加强新时代党性修养，提高办学治校水平》，任引沁教授对于党性修养进行了深入探讨，是一堂难得的理论提升课。党性修养是党员的自我教育、自我改造、自我完善，是党的本质属性在党员身上的内化。今后，我也会把党性修养作为一门重要功课来修炼，时刻以党员标准要求自己，严以律己、自律自强，提高自己的政治站位和思想境界。外语教研室主任崔琳杰：今天听了刘国辉教授的讲座，对于如何提高党性修养我进行了思考。首先，我们应该加强理论学习，及时了解国家和党的方针政策，深入学习贯彻习近平新时代中国特色社会主义思想。其次，作为教师党员，我们要坚持立德树人的根本任务，把培养德才兼备的优秀人才作为自己的工作目标。最后，思用贯通、知信行一，用习近平新时代中国特色社会主义思想指导各项实践工作，并努力创新，更好地把自己奉献给教育事业。2022级电子商务专业董宇航：在听过张朝霞老师的课以后，我了解了中国共产党的光荣历史和新时期我们党取得的伟大成就，我深受鼓舞和教育，对党组织的了解也更加深入，让我更加深爱中国共产党，明白了全面建设社会主义现代化国家，全面推进中华民族伟大复兴，关键在党。我们要向党学习，肩负起建设祖国的重任，在党的领导下砥砺前行，不忘初心，牢记使</w:t>
      </w:r>
    </w:p>
    <w:p>
      <w:pPr>
        <w:keepNext w:val="0"/>
        <w:keepLines w:val="0"/>
        <w:pageBreakBefore w:val="0"/>
        <w:widowControl/>
        <w:numPr>
          <w:ilvl w:val="0"/>
          <w:numId w:val="0"/>
        </w:numPr>
        <w:kinsoku/>
        <w:wordWrap/>
        <w:overflowPunct w:val="0"/>
        <w:topLinePunct w:val="0"/>
        <w:autoSpaceDE w:val="0"/>
        <w:autoSpaceDN w:val="0"/>
        <w:bidi w:val="0"/>
        <w:adjustRightInd w:val="0"/>
        <w:spacing w:line="360" w:lineRule="auto"/>
        <w:ind w:firstLine="480" w:firstLineChars="200"/>
        <w:jc w:val="both"/>
        <w:textAlignment w:val="baseline"/>
        <w:rPr>
          <w:rFonts w:hint="eastAsia" w:ascii="宋体" w:hAnsi="宋体" w:eastAsia="宋体" w:cs="宋体"/>
          <w:b/>
          <w:bCs/>
          <w:color w:val="auto"/>
          <w:spacing w:val="14"/>
          <w:sz w:val="24"/>
          <w:szCs w:val="24"/>
          <w:lang w:val="en-US" w:eastAsia="zh-CN"/>
        </w:rPr>
      </w:pPr>
      <w:r>
        <w:rPr>
          <w:rFonts w:hint="eastAsia" w:ascii="宋体" w:hAnsi="宋体" w:eastAsia="宋体" w:cs="宋体"/>
          <w:color w:val="auto"/>
          <w:sz w:val="24"/>
          <w:szCs w:val="24"/>
          <w:lang w:val="en-US" w:eastAsia="zh-CN"/>
        </w:rPr>
        <w:t>（二）</w:t>
      </w:r>
      <w:r>
        <w:rPr>
          <w:rFonts w:hint="eastAsia" w:ascii="宋体" w:hAnsi="宋体" w:eastAsia="宋体" w:cs="宋体"/>
          <w:b/>
          <w:bCs/>
          <w:color w:val="auto"/>
          <w:spacing w:val="14"/>
          <w:sz w:val="24"/>
          <w:szCs w:val="24"/>
          <w:lang w:val="en-US" w:eastAsia="zh-CN"/>
        </w:rPr>
        <w:t>全力推动干事创业</w:t>
      </w:r>
    </w:p>
    <w:p>
      <w:pPr>
        <w:keepNext w:val="0"/>
        <w:keepLines w:val="0"/>
        <w:pageBreakBefore w:val="0"/>
        <w:numPr>
          <w:ilvl w:val="0"/>
          <w:numId w:val="0"/>
        </w:numPr>
        <w:kinsoku/>
        <w:wordWrap/>
        <w:topLinePunct w:val="0"/>
        <w:bidi w:val="0"/>
        <w:spacing w:line="360" w:lineRule="auto"/>
        <w:rPr>
          <w:rFonts w:hint="eastAsia" w:ascii="宋体" w:hAnsi="宋体" w:eastAsia="宋体" w:cs="宋体"/>
          <w:sz w:val="24"/>
          <w:szCs w:val="24"/>
          <w:lang w:val="en-US" w:eastAsia="zh-CN"/>
        </w:rPr>
      </w:pPr>
      <w:r>
        <w:rPr>
          <w:rFonts w:hint="eastAsia" w:ascii="宋体" w:hAnsi="宋体" w:eastAsia="宋体" w:cs="宋体"/>
          <w:b/>
          <w:bCs/>
          <w:color w:val="E54C5E" w:themeColor="accent6"/>
          <w:spacing w:val="14"/>
          <w:sz w:val="24"/>
          <w:szCs w:val="24"/>
          <w:lang w:val="en-US" w:eastAsia="zh-CN"/>
          <w14:textFill>
            <w14:solidFill>
              <w14:schemeClr w14:val="accent6"/>
            </w14:solidFill>
          </w14:textFill>
        </w:rPr>
        <w:t xml:space="preserve">  </w:t>
      </w:r>
      <w:r>
        <w:rPr>
          <w:rFonts w:hint="eastAsia" w:ascii="宋体" w:hAnsi="宋体" w:eastAsia="宋体" w:cs="宋体"/>
          <w:sz w:val="24"/>
          <w:szCs w:val="24"/>
          <w:lang w:val="en-US" w:eastAsia="zh-CN"/>
        </w:rPr>
        <w:t xml:space="preserve"> 主题教育的四项总要求包括“重实践”“建新功”。重实践，就是要自觉践行新时代中国特色社会主义思想，用以改造客观世界、推动事业发展，用以观察时代、把握时代、引领时代，积极识变应变求变，解决经济社会发展和党的建设中存在的各种矛盾问题，防范化解重大风险，推动中国式现代化取得新进展新突破。建新功，就是要从新时代中国特色社会主义思想中汲取奋发进取的智慧和力量，熟练掌握其中蕴含的领导方法、思想方法、工作方法，不断提高履职尽责的能力和水平，凝心聚力促发展，驰而不息抓落实，立足岗位作贡献，努力创造经得起历史和人民检验的实绩。对于马克思主义学院来说，我们把“重实践”“建新功”具体落实到以审核评估要求为引领，以全面提高教师教学科研能力为主线，以自觉服务于学校大思政工作为主要内容，努力通过主题教育，使一流马克思主义学院建设再上新台阶。</w:t>
      </w:r>
    </w:p>
    <w:p>
      <w:pPr>
        <w:keepNext w:val="0"/>
        <w:keepLines w:val="0"/>
        <w:pageBreakBefore w:val="0"/>
        <w:numPr>
          <w:ilvl w:val="0"/>
          <w:numId w:val="0"/>
        </w:numPr>
        <w:kinsoku/>
        <w:wordWrap/>
        <w:topLinePunct w:val="0"/>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完成《拥抱·青春》《辽宁之歌》《光荣·梦想》三本著作的编写工作。学校十年十部大剧，创造了中国民办高等艺术教育的“奇迹”。编辑大连艺术学院原创纪实剧《拥抱·青春》创排演纪实，大型舞台思政剧《辽宁之歌》创排演纪实，大型舞台思政剧《光荣·梦想》创排演纪实，对于学校审核评估，对于学校的大思政教育都具有重要意义。马克思主义学院组织精兵强将，和机关通力合作，废寝忘食，在较短时间内完成了三部书的编写工作，得到了学校领导的高度赞扬。</w:t>
      </w:r>
    </w:p>
    <w:p>
      <w:pPr>
        <w:keepNext w:val="0"/>
        <w:keepLines w:val="0"/>
        <w:pageBreakBefore w:val="0"/>
        <w:numPr>
          <w:ilvl w:val="0"/>
          <w:numId w:val="0"/>
        </w:numPr>
        <w:kinsoku/>
        <w:wordWrap/>
        <w:topLinePunct w:val="0"/>
        <w:bidi w:val="0"/>
        <w:spacing w:line="360" w:lineRule="auto"/>
        <w:ind w:firstLine="6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完成“校街共建共享的‘行走的思政课’实践教学模式研究和实践”教学成果的申报工作。近几年来，马克思主义学院贯彻学校党委书记、董事长关于“马克思主义学院要发挥自己的理论专长，努力服务社会”的要求，积极组织思政教师开展校街共建共享的“行走的思政课”，三年时间里组织教师开展街道社区企业宣讲50余场，努力让党的创新理论“飞入寻常百姓家”。我们也利用湾里街道社区的思政资源优势，规范、高效开展“大思政课”实践教学，创建了“校街共建共享的‘行走的思政课’实践教学模式”。这一成果解决了思政实践教学组织难度大、经费保障困难、教师组织能力不足等大思政实践教学的难题，理论和实践上具有原创性和先进性。按照学校申报教学课题的要求，任引沁副院长组织课题组，利用周末时间，高质量地按时完成了校级教学成果的申报工作，为申报省级教学成果奠定了良好基础。</w:t>
      </w:r>
    </w:p>
    <w:p>
      <w:pPr>
        <w:keepNext w:val="0"/>
        <w:keepLines w:val="0"/>
        <w:pageBreakBefore w:val="0"/>
        <w:numPr>
          <w:ilvl w:val="0"/>
          <w:numId w:val="0"/>
        </w:numPr>
        <w:kinsoku/>
        <w:wordWrap/>
        <w:topLinePunct w:val="0"/>
        <w:bidi w:val="0"/>
        <w:spacing w:line="360" w:lineRule="auto"/>
        <w:ind w:firstLine="6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3.组织完成了学校十年十部大剧专项课题研究。马克思主义学院和通识教育学院获批了学校十年十部大剧专项课题19项，两院组织教师深入研究，高质量、按时完成了课题研究工作，19项课题全部顺利结项。</w:t>
      </w:r>
    </w:p>
    <w:p>
      <w:pPr>
        <w:keepNext w:val="0"/>
        <w:keepLines w:val="0"/>
        <w:pageBreakBefore w:val="0"/>
        <w:numPr>
          <w:ilvl w:val="0"/>
          <w:numId w:val="0"/>
        </w:numPr>
        <w:kinsoku/>
        <w:wordWrap/>
        <w:topLinePunct w:val="0"/>
        <w:bidi w:val="0"/>
        <w:spacing w:line="360" w:lineRule="auto"/>
        <w:ind w:firstLine="6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143500" cy="2883535"/>
            <wp:effectExtent l="0" t="0" r="0" b="12065"/>
            <wp:docPr id="2" name="图片 2" descr="d57cb205c75c7d68953f3aca5a32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57cb205c75c7d68953f3aca5a32459"/>
                    <pic:cNvPicPr>
                      <a:picLocks noChangeAspect="1"/>
                    </pic:cNvPicPr>
                  </pic:nvPicPr>
                  <pic:blipFill>
                    <a:blip r:embed="rId5"/>
                    <a:stretch>
                      <a:fillRect/>
                    </a:stretch>
                  </pic:blipFill>
                  <pic:spPr>
                    <a:xfrm>
                      <a:off x="0" y="0"/>
                      <a:ext cx="5143500" cy="2883535"/>
                    </a:xfrm>
                    <a:prstGeom prst="rect">
                      <a:avLst/>
                    </a:prstGeom>
                  </pic:spPr>
                </pic:pic>
              </a:graphicData>
            </a:graphic>
          </wp:inline>
        </w:drawing>
      </w:r>
    </w:p>
    <w:p>
      <w:pPr>
        <w:keepNext w:val="0"/>
        <w:keepLines w:val="0"/>
        <w:pageBreakBefore w:val="0"/>
        <w:numPr>
          <w:ilvl w:val="0"/>
          <w:numId w:val="0"/>
        </w:numPr>
        <w:kinsoku/>
        <w:wordWrap/>
        <w:topLinePunct w:val="0"/>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组织青年教师获批10项专项课题。加强青年教师的科研能力培养，是学校、学院建设的重中之重。学校组织新入职青年教师专项科研课题申报工作，马克思主义学院在学校领导和青年教师导师的具体指导下，申报获批了是10课题，每人一项，为培养青年教师的科研能力奠定了良好基础。</w:t>
      </w:r>
    </w:p>
    <w:p>
      <w:pPr>
        <w:keepNext w:val="0"/>
        <w:keepLines w:val="0"/>
        <w:pageBreakBefore w:val="0"/>
        <w:numPr>
          <w:ilvl w:val="0"/>
          <w:numId w:val="0"/>
        </w:numPr>
        <w:kinsoku/>
        <w:wordWrap/>
        <w:topLinePunct w:val="0"/>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drawing>
          <wp:inline distT="0" distB="0" distL="114300" distR="114300">
            <wp:extent cx="5273675" cy="2383155"/>
            <wp:effectExtent l="0" t="0" r="9525" b="4445"/>
            <wp:docPr id="3" name="图片 3" descr="966cf168cdea491cb65537debb838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66cf168cdea491cb65537debb8383b"/>
                    <pic:cNvPicPr>
                      <a:picLocks noChangeAspect="1"/>
                    </pic:cNvPicPr>
                  </pic:nvPicPr>
                  <pic:blipFill>
                    <a:blip r:embed="rId6"/>
                    <a:stretch>
                      <a:fillRect/>
                    </a:stretch>
                  </pic:blipFill>
                  <pic:spPr>
                    <a:xfrm>
                      <a:off x="0" y="0"/>
                      <a:ext cx="5273675" cy="2383155"/>
                    </a:xfrm>
                    <a:prstGeom prst="rect">
                      <a:avLst/>
                    </a:prstGeom>
                  </pic:spPr>
                </pic:pic>
              </a:graphicData>
            </a:graphic>
          </wp:inline>
        </w:drawing>
      </w:r>
    </w:p>
    <w:p>
      <w:pPr>
        <w:keepNext w:val="0"/>
        <w:keepLines w:val="0"/>
        <w:pageBreakBefore w:val="0"/>
        <w:numPr>
          <w:ilvl w:val="0"/>
          <w:numId w:val="0"/>
        </w:numPr>
        <w:kinsoku/>
        <w:wordWrap/>
        <w:topLinePunct w:val="0"/>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5.开展“行走的思政课”，服务于街道社区的主题教育。马克思主义学院充分利用教师的理论专长，服务于街道社区的主题教育，共完成主题教育讲座10场，得到了街道社区的热烈欢迎。</w:t>
      </w:r>
    </w:p>
    <w:p>
      <w:pPr>
        <w:keepNext w:val="0"/>
        <w:keepLines w:val="0"/>
        <w:pageBreakBefore w:val="0"/>
        <w:numPr>
          <w:ilvl w:val="0"/>
          <w:numId w:val="0"/>
        </w:numPr>
        <w:kinsoku/>
        <w:wordWrap/>
        <w:topLinePunct w:val="0"/>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drawing>
          <wp:inline distT="0" distB="0" distL="114300" distR="114300">
            <wp:extent cx="3977005" cy="3709035"/>
            <wp:effectExtent l="9525" t="9525" r="13970" b="1524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rcRect l="31527" t="23947" r="32610" b="15936"/>
                    <a:stretch>
                      <a:fillRect/>
                    </a:stretch>
                  </pic:blipFill>
                  <pic:spPr>
                    <a:xfrm>
                      <a:off x="0" y="0"/>
                      <a:ext cx="3977005" cy="3709035"/>
                    </a:xfrm>
                    <a:prstGeom prst="rect">
                      <a:avLst/>
                    </a:prstGeom>
                    <a:noFill/>
                    <a:ln>
                      <a:solidFill>
                        <a:srgbClr val="0000FF"/>
                      </a:solidFill>
                    </a:ln>
                  </pic:spPr>
                </pic:pic>
              </a:graphicData>
            </a:graphic>
          </wp:inline>
        </w:drawing>
      </w:r>
    </w:p>
    <w:p>
      <w:pPr>
        <w:keepNext w:val="0"/>
        <w:keepLines w:val="0"/>
        <w:pageBreakBefore w:val="0"/>
        <w:numPr>
          <w:ilvl w:val="0"/>
          <w:numId w:val="0"/>
        </w:numPr>
        <w:kinsoku/>
        <w:wordWrap/>
        <w:topLinePunct w:val="0"/>
        <w:bidi w:val="0"/>
        <w:spacing w:line="360" w:lineRule="auto"/>
        <w:rPr>
          <w:rFonts w:hint="eastAsia" w:ascii="宋体" w:hAnsi="宋体" w:eastAsia="宋体" w:cs="宋体"/>
          <w:sz w:val="24"/>
          <w:szCs w:val="24"/>
          <w:lang w:val="en-US" w:eastAsia="zh-CN"/>
        </w:rPr>
      </w:pPr>
    </w:p>
    <w:p>
      <w:pPr>
        <w:keepNext w:val="0"/>
        <w:keepLines w:val="0"/>
        <w:pageBreakBefore w:val="0"/>
        <w:numPr>
          <w:ilvl w:val="0"/>
          <w:numId w:val="1"/>
        </w:numPr>
        <w:kinsoku/>
        <w:wordWrap/>
        <w:topLinePunct w:val="0"/>
        <w:bidi w:val="0"/>
        <w:spacing w:line="360" w:lineRule="auto"/>
        <w:ind w:firstLine="538" w:firstLineChars="200"/>
        <w:rPr>
          <w:rFonts w:hint="eastAsia" w:ascii="宋体" w:hAnsi="宋体" w:eastAsia="宋体" w:cs="宋体"/>
          <w:b/>
          <w:bCs/>
          <w:spacing w:val="14"/>
          <w:sz w:val="24"/>
          <w:szCs w:val="24"/>
          <w:lang w:eastAsia="zh-CN"/>
        </w:rPr>
      </w:pPr>
      <w:r>
        <w:rPr>
          <w:rFonts w:hint="eastAsia" w:ascii="宋体" w:hAnsi="宋体" w:eastAsia="宋体" w:cs="宋体"/>
          <w:b/>
          <w:bCs/>
          <w:spacing w:val="14"/>
          <w:sz w:val="24"/>
          <w:szCs w:val="24"/>
          <w:lang w:eastAsia="zh-CN"/>
        </w:rPr>
        <w:t>认真做好检视整改</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深刻领悟习近平新时代中国特色社会主义思想的基础上，建新功，是主题教育的实践目标。如何解决发展中的堵、难点、热点问题，如何促进事业又好又快的发展，这是马克思主义学院的当务之急。首要问题要提高觉悟。应当看到进入新时代，上到中央下到地方都十分重视马克思主义学院的发展建设。大连艺术学院党委也十分重视学院的发展建设，党委书记亲自抓，直接联系马克思主义学院，各位党委委员、校长定期听取马克思主义学院的工作汇报，在资金投入人才培养等加大力度，取得了很大的成绩。但是也应该正视目前发展中的问题。如年轻队伍比例较大，占教师总数的33.3%，教学经验不足，科研水平有待提高等等。我们决心以努力奋斗为动力，以建设一流马克思主义学院为目标，以思政教师队伍建设为重点，以高水平思政教学科研为“两翼”，以校内外“行走的思政课”为特色，以大思政研究和专著撰写为重要抓手，同心同德、同舟共济、踔厉奋发、攻坚克难，推进马克思主义学院全面建设、实现高质量发展，为培养有理想、敢担当、能吃苦、肯奋斗的应用型艺术人才做贡献。</w:t>
      </w:r>
    </w:p>
    <w:p>
      <w:pPr>
        <w:keepNext w:val="0"/>
        <w:keepLines w:val="0"/>
        <w:pageBreakBefore w:val="0"/>
        <w:kinsoku/>
        <w:wordWrap/>
        <w:topLinePunct w:val="0"/>
        <w:bidi w:val="0"/>
        <w:spacing w:line="360" w:lineRule="auto"/>
        <w:ind w:firstLine="482" w:firstLineChars="200"/>
        <w:rPr>
          <w:rFonts w:hint="eastAsia" w:ascii="黑体" w:hAnsi="黑体" w:eastAsia="黑体" w:cs="黑体"/>
          <w:color w:val="E54C5E" w:themeColor="accent6"/>
          <w:spacing w:val="14"/>
          <w:sz w:val="24"/>
          <w:szCs w:val="24"/>
          <w:lang w:val="en-US" w:eastAsia="zh-CN"/>
          <w14:textFill>
            <w14:solidFill>
              <w14:schemeClr w14:val="accent6"/>
            </w14:solidFill>
          </w14:textFill>
        </w:rPr>
      </w:pPr>
      <w:r>
        <w:rPr>
          <w:rFonts w:hint="eastAsia" w:ascii="黑体" w:hAnsi="黑体" w:eastAsia="黑体" w:cs="黑体"/>
          <w:b/>
          <w:bCs/>
          <w:sz w:val="24"/>
          <w:szCs w:val="24"/>
          <w:lang w:val="en-US" w:eastAsia="zh-CN"/>
        </w:rPr>
        <w:t>三、</w:t>
      </w:r>
      <w:r>
        <w:rPr>
          <w:rFonts w:hint="eastAsia" w:ascii="黑体" w:hAnsi="黑体" w:eastAsia="黑体" w:cs="黑体"/>
          <w:spacing w:val="14"/>
          <w:sz w:val="24"/>
          <w:szCs w:val="24"/>
          <w:lang w:val="en-US" w:eastAsia="zh-CN"/>
        </w:rPr>
        <w:t>充分发挥马克思主义学院教师在理论宣讲中的作用，为主题教育理论宣讲工作做贡献</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题教育的总要求是“学思想、强党性、重实践、建新功”，基础是学思想。学思想，就是要全面学习领会习近平新时代中国特色社会主义思想，全面系统掌握这一思想的基本观点、科学体系，把握好这一思想的世界观、方法论，坚持好、运用好贯穿其中的立场观点方法，不断增进对党的创新理论的政治认同、思想认同、理论认同、情感认同，真正把马克思主义看家本领学到手，自觉用新时代中国特色社会主义思想指导各项工作。要努力在以学铸魂、以学增智、以学正风、以学促干方面取得实实在在的成效。主题教育伊始，我们就深入二级学院进行调研，大家反映最多的问题是如何系统全面深入地开展理论教育，如何把新时代中国特色社会主义思想“讲深讲透讲活”，为整体的教育活动打下良好基础。因此，我们组织思政教师深入二级学院开展调查，探索大家感兴趣的理论问题和实践难题。思政教师，结合自己的研究专长，结合专题教育的根本要求，结合二级学院的特点，选择讲座题目，充分收集资料，开展了有针对性的宣讲。这些专题构成一个系列，包含了习近平新时代中国特点社会主义思想最为重要的理论问题，包含了办学治校、人才培养的最主要问题。思政教师的讲座不仅讲理论，也教授理论教育的方法。二级学院的书记，特别是青年书记，普遍反映通过听讲座掌握了理论教育的方法，从而为开展主题教育奠定了良好基础。</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们还把赴二级学院的主题教育宣讲作为培养青年教师教学能力的重要手段和方法。每个讲座都安排一名主讲老教师，安排一名青年教师，老教师一对一教授青年教师如何调查研究查找问题，如何开展理论阐述，如何开展宣讲，青年教师从中学习掌握了开展高水平讲座的方法，实现了教学科研能力的普遍提升。</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我们将把所有的讲座集结成册，整理成系统的理论教育资料，供全校师生学习使用。</w:t>
      </w:r>
    </w:p>
    <w:p>
      <w:pPr>
        <w:keepNext w:val="0"/>
        <w:keepLines w:val="0"/>
        <w:pageBreakBefore w:val="0"/>
        <w:kinsoku/>
        <w:wordWrap/>
        <w:topLinePunct w:val="0"/>
        <w:bidi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每次宣讲，二级学院要严格组织，公众号进行宣传，发表师生的学习体会，深化了主题教育，同时扩大了学校主题教育的社会影响。</w:t>
      </w:r>
    </w:p>
    <w:p>
      <w:pPr>
        <w:keepNext w:val="0"/>
        <w:keepLines w:val="0"/>
        <w:pageBreakBefore w:val="0"/>
        <w:kinsoku/>
        <w:wordWrap/>
        <w:topLinePunct w:val="0"/>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马克思主义学院教师深入各二级学院主题教育宣讲题目及时间表</w:t>
      </w:r>
    </w:p>
    <w:tbl>
      <w:tblPr>
        <w:tblStyle w:val="7"/>
        <w:tblW w:w="7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249"/>
        <w:gridCol w:w="1080"/>
        <w:gridCol w:w="3225"/>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序</w:t>
            </w:r>
          </w:p>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号</w:t>
            </w:r>
          </w:p>
        </w:tc>
        <w:tc>
          <w:tcPr>
            <w:tcW w:w="1249" w:type="dxa"/>
          </w:tcPr>
          <w:p>
            <w:pPr>
              <w:keepNext w:val="0"/>
              <w:keepLines w:val="0"/>
              <w:pageBreakBefore w:val="0"/>
              <w:kinsoku/>
              <w:wordWrap/>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主讲教师</w:t>
            </w:r>
          </w:p>
        </w:tc>
        <w:tc>
          <w:tcPr>
            <w:tcW w:w="1080" w:type="dxa"/>
          </w:tcPr>
          <w:p>
            <w:pPr>
              <w:keepNext w:val="0"/>
              <w:keepLines w:val="0"/>
              <w:pageBreakBefore w:val="0"/>
              <w:kinsoku/>
              <w:wordWrap/>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辅导教师</w:t>
            </w:r>
          </w:p>
        </w:tc>
        <w:tc>
          <w:tcPr>
            <w:tcW w:w="3225" w:type="dxa"/>
          </w:tcPr>
          <w:p>
            <w:pPr>
              <w:keepNext w:val="0"/>
              <w:keepLines w:val="0"/>
              <w:pageBreakBefore w:val="0"/>
              <w:kinsoku/>
              <w:wordWrap/>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讲座题目</w:t>
            </w:r>
          </w:p>
        </w:tc>
        <w:tc>
          <w:tcPr>
            <w:tcW w:w="1708"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二级学院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w:t>
            </w:r>
          </w:p>
        </w:tc>
        <w:tc>
          <w:tcPr>
            <w:tcW w:w="124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任引沁</w:t>
            </w:r>
          </w:p>
        </w:tc>
        <w:tc>
          <w:tcPr>
            <w:tcW w:w="1080"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王晓敏</w:t>
            </w:r>
          </w:p>
        </w:tc>
        <w:tc>
          <w:tcPr>
            <w:tcW w:w="3225" w:type="dxa"/>
          </w:tcPr>
          <w:p>
            <w:pPr>
              <w:keepNext w:val="0"/>
              <w:keepLines w:val="0"/>
              <w:pageBreakBefore w:val="0"/>
              <w:kinsoku/>
              <w:wordWrap/>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加强新时代党性修养，提高办学治校水平</w:t>
            </w:r>
          </w:p>
        </w:tc>
        <w:tc>
          <w:tcPr>
            <w:tcW w:w="1708" w:type="dxa"/>
          </w:tcPr>
          <w:p>
            <w:pPr>
              <w:keepNext w:val="0"/>
              <w:keepLines w:val="0"/>
              <w:pageBreakBefore w:val="0"/>
              <w:kinsoku/>
              <w:wordWrap/>
              <w:topLinePunct w:val="0"/>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文管学院</w:t>
            </w:r>
            <w:r>
              <w:rPr>
                <w:rFonts w:hint="eastAsia" w:ascii="宋体" w:hAnsi="宋体" w:eastAsia="宋体" w:cs="宋体"/>
                <w:sz w:val="24"/>
                <w:szCs w:val="24"/>
                <w:lang w:val="en-US" w:eastAsia="zh-CN"/>
              </w:rPr>
              <w:t xml:space="preserve"> Z213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2</w:t>
            </w:r>
          </w:p>
        </w:tc>
        <w:tc>
          <w:tcPr>
            <w:tcW w:w="124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张丽华</w:t>
            </w:r>
          </w:p>
        </w:tc>
        <w:tc>
          <w:tcPr>
            <w:tcW w:w="1080"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李敏</w:t>
            </w:r>
          </w:p>
        </w:tc>
        <w:tc>
          <w:tcPr>
            <w:tcW w:w="3225" w:type="dxa"/>
          </w:tcPr>
          <w:p>
            <w:pPr>
              <w:keepNext w:val="0"/>
              <w:keepLines w:val="0"/>
              <w:pageBreakBefore w:val="0"/>
              <w:kinsoku/>
              <w:wordWrap/>
              <w:topLinePunct w:val="0"/>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走中国式现代化道理，实现人民共同富裕</w:t>
            </w:r>
          </w:p>
        </w:tc>
        <w:tc>
          <w:tcPr>
            <w:tcW w:w="1708"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3</w:t>
            </w:r>
          </w:p>
        </w:tc>
        <w:tc>
          <w:tcPr>
            <w:tcW w:w="124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亢莹</w:t>
            </w:r>
          </w:p>
        </w:tc>
        <w:tc>
          <w:tcPr>
            <w:tcW w:w="1080"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姚琦雪</w:t>
            </w:r>
          </w:p>
        </w:tc>
        <w:tc>
          <w:tcPr>
            <w:tcW w:w="3225" w:type="dxa"/>
          </w:tcPr>
          <w:p>
            <w:pPr>
              <w:keepNext w:val="0"/>
              <w:keepLines w:val="0"/>
              <w:pageBreakBefore w:val="0"/>
              <w:kinsoku/>
              <w:wordWrap/>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学习贯彻习近平宣传思想文化工作重要指示精神，开创高校宣传思想工作新局面</w:t>
            </w:r>
          </w:p>
        </w:tc>
        <w:tc>
          <w:tcPr>
            <w:tcW w:w="1708"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戏剧与传媒学院</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新闻中心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4</w:t>
            </w:r>
          </w:p>
        </w:tc>
        <w:tc>
          <w:tcPr>
            <w:tcW w:w="124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林欣馨</w:t>
            </w:r>
          </w:p>
        </w:tc>
        <w:tc>
          <w:tcPr>
            <w:tcW w:w="1080"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毕菁菁</w:t>
            </w:r>
          </w:p>
        </w:tc>
        <w:tc>
          <w:tcPr>
            <w:tcW w:w="3225" w:type="dxa"/>
          </w:tcPr>
          <w:p>
            <w:pPr>
              <w:keepNext w:val="0"/>
              <w:keepLines w:val="0"/>
              <w:pageBreakBefore w:val="0"/>
              <w:kinsoku/>
              <w:wordWrap/>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学校部队合作的大思政模式的意义与构建</w:t>
            </w:r>
          </w:p>
        </w:tc>
        <w:tc>
          <w:tcPr>
            <w:tcW w:w="1708"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戏剧与传媒学院</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新闻中心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5</w:t>
            </w:r>
          </w:p>
        </w:tc>
        <w:tc>
          <w:tcPr>
            <w:tcW w:w="124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朵丽妮娅</w:t>
            </w:r>
          </w:p>
        </w:tc>
        <w:tc>
          <w:tcPr>
            <w:tcW w:w="1080"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梁晓飞</w:t>
            </w:r>
          </w:p>
        </w:tc>
        <w:tc>
          <w:tcPr>
            <w:tcW w:w="3225" w:type="dxa"/>
          </w:tcPr>
          <w:p>
            <w:pPr>
              <w:keepNext w:val="0"/>
              <w:keepLines w:val="0"/>
              <w:pageBreakBefore w:val="0"/>
              <w:kinsoku/>
              <w:wordWrap/>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为建设中华民族现代文明贡献力量</w:t>
            </w:r>
          </w:p>
        </w:tc>
        <w:tc>
          <w:tcPr>
            <w:tcW w:w="1708"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音乐学院</w:t>
            </w:r>
          </w:p>
          <w:p>
            <w:pPr>
              <w:keepNext w:val="0"/>
              <w:keepLines w:val="0"/>
              <w:pageBreakBefore w:val="0"/>
              <w:kinsoku/>
              <w:wordWrap/>
              <w:topLinePunct w:val="0"/>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YB101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6</w:t>
            </w:r>
          </w:p>
        </w:tc>
        <w:tc>
          <w:tcPr>
            <w:tcW w:w="124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申婷</w:t>
            </w:r>
          </w:p>
        </w:tc>
        <w:tc>
          <w:tcPr>
            <w:tcW w:w="1080"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杨怡晴</w:t>
            </w:r>
          </w:p>
        </w:tc>
        <w:tc>
          <w:tcPr>
            <w:tcW w:w="3225" w:type="dxa"/>
          </w:tcPr>
          <w:p>
            <w:pPr>
              <w:keepNext w:val="0"/>
              <w:keepLines w:val="0"/>
              <w:pageBreakBefore w:val="0"/>
              <w:kinsoku/>
              <w:wordWrap/>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增强胸怀天下的情怀，推动学校的国际化办学</w:t>
            </w:r>
          </w:p>
        </w:tc>
        <w:tc>
          <w:tcPr>
            <w:tcW w:w="1708"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国际教育学院</w:t>
            </w:r>
          </w:p>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继续教育学院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7</w:t>
            </w:r>
          </w:p>
        </w:tc>
        <w:tc>
          <w:tcPr>
            <w:tcW w:w="124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宋鹤</w:t>
            </w:r>
          </w:p>
        </w:tc>
        <w:tc>
          <w:tcPr>
            <w:tcW w:w="1080"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姚琦雪</w:t>
            </w:r>
          </w:p>
        </w:tc>
        <w:tc>
          <w:tcPr>
            <w:tcW w:w="3225" w:type="dxa"/>
          </w:tcPr>
          <w:p>
            <w:pPr>
              <w:keepNext w:val="0"/>
              <w:keepLines w:val="0"/>
              <w:pageBreakBefore w:val="0"/>
              <w:kinsoku/>
              <w:wordWrap/>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中国共产党百年自我革命的经验与启示</w:t>
            </w:r>
          </w:p>
        </w:tc>
        <w:tc>
          <w:tcPr>
            <w:tcW w:w="1708" w:type="dxa"/>
          </w:tcPr>
          <w:p>
            <w:pPr>
              <w:keepNext w:val="0"/>
              <w:keepLines w:val="0"/>
              <w:pageBreakBefore w:val="0"/>
              <w:kinsoku/>
              <w:wordWrap/>
              <w:topLinePunct w:val="0"/>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8</w:t>
            </w:r>
          </w:p>
        </w:tc>
        <w:tc>
          <w:tcPr>
            <w:tcW w:w="124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徐薇</w:t>
            </w:r>
          </w:p>
        </w:tc>
        <w:tc>
          <w:tcPr>
            <w:tcW w:w="1080"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李艳</w:t>
            </w:r>
          </w:p>
        </w:tc>
        <w:tc>
          <w:tcPr>
            <w:tcW w:w="3225" w:type="dxa"/>
          </w:tcPr>
          <w:p>
            <w:pPr>
              <w:keepNext w:val="0"/>
              <w:keepLines w:val="0"/>
              <w:pageBreakBefore w:val="0"/>
              <w:kinsoku/>
              <w:wordWrap/>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永不褪色的旗帜，指引航向的灯塔——党的性质、宗旨、路线和纲领主题学习</w:t>
            </w:r>
          </w:p>
        </w:tc>
        <w:tc>
          <w:tcPr>
            <w:tcW w:w="1708"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艺术设计学院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9</w:t>
            </w:r>
          </w:p>
        </w:tc>
        <w:tc>
          <w:tcPr>
            <w:tcW w:w="124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董娇</w:t>
            </w:r>
          </w:p>
        </w:tc>
        <w:tc>
          <w:tcPr>
            <w:tcW w:w="1080"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郭笑羽</w:t>
            </w:r>
          </w:p>
        </w:tc>
        <w:tc>
          <w:tcPr>
            <w:tcW w:w="3225" w:type="dxa"/>
          </w:tcPr>
          <w:p>
            <w:pPr>
              <w:keepNext w:val="0"/>
              <w:keepLines w:val="0"/>
              <w:pageBreakBefore w:val="0"/>
              <w:kinsoku/>
              <w:wordWrap/>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端正入党动机，做新时代合格的共产党员</w:t>
            </w:r>
          </w:p>
        </w:tc>
        <w:tc>
          <w:tcPr>
            <w:tcW w:w="1708"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舞蹈学院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rPr>
              <w:t>10</w:t>
            </w:r>
          </w:p>
        </w:tc>
        <w:tc>
          <w:tcPr>
            <w:tcW w:w="124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徐芳</w:t>
            </w:r>
          </w:p>
        </w:tc>
        <w:tc>
          <w:tcPr>
            <w:tcW w:w="1080"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张钟蓦</w:t>
            </w:r>
          </w:p>
        </w:tc>
        <w:tc>
          <w:tcPr>
            <w:tcW w:w="3225" w:type="dxa"/>
          </w:tcPr>
          <w:p>
            <w:pPr>
              <w:keepNext w:val="0"/>
              <w:keepLines w:val="0"/>
              <w:pageBreakBefore w:val="0"/>
              <w:kinsoku/>
              <w:wordWrap/>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科技大国建设背景下的科技强校的思考</w:t>
            </w:r>
          </w:p>
        </w:tc>
        <w:tc>
          <w:tcPr>
            <w:tcW w:w="1708"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艺术科技学院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rPr>
              <w:t>1</w:t>
            </w:r>
          </w:p>
        </w:tc>
        <w:tc>
          <w:tcPr>
            <w:tcW w:w="124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张朝霞</w:t>
            </w:r>
          </w:p>
        </w:tc>
        <w:tc>
          <w:tcPr>
            <w:tcW w:w="1080"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郭笑羽</w:t>
            </w:r>
          </w:p>
        </w:tc>
        <w:tc>
          <w:tcPr>
            <w:tcW w:w="3225" w:type="dxa"/>
          </w:tcPr>
          <w:p>
            <w:pPr>
              <w:keepNext w:val="0"/>
              <w:keepLines w:val="0"/>
              <w:pageBreakBefore w:val="0"/>
              <w:kinsoku/>
              <w:wordWrap/>
              <w:topLinePunct w:val="0"/>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学习邹芳芳，</w:t>
            </w:r>
            <w:r>
              <w:rPr>
                <w:rFonts w:hint="eastAsia" w:ascii="宋体" w:hAnsi="宋体" w:eastAsia="宋体" w:cs="宋体"/>
                <w:sz w:val="24"/>
                <w:szCs w:val="24"/>
                <w:lang w:val="en-US" w:eastAsia="zh-CN"/>
              </w:rPr>
              <w:t>做理论战线的冲锋者</w:t>
            </w:r>
          </w:p>
        </w:tc>
        <w:tc>
          <w:tcPr>
            <w:tcW w:w="1708"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艺术设计学院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rPr>
              <w:t>2</w:t>
            </w:r>
          </w:p>
        </w:tc>
        <w:tc>
          <w:tcPr>
            <w:tcW w:w="124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武晓霞</w:t>
            </w:r>
          </w:p>
        </w:tc>
        <w:tc>
          <w:tcPr>
            <w:tcW w:w="1080"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文怡然</w:t>
            </w:r>
          </w:p>
        </w:tc>
        <w:tc>
          <w:tcPr>
            <w:tcW w:w="3225" w:type="dxa"/>
          </w:tcPr>
          <w:p>
            <w:pPr>
              <w:keepNext w:val="0"/>
              <w:keepLines w:val="0"/>
              <w:pageBreakBefore w:val="0"/>
              <w:kinsoku/>
              <w:wordWrap/>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学习邹芳芳，争当“四有”好老师</w:t>
            </w:r>
          </w:p>
        </w:tc>
        <w:tc>
          <w:tcPr>
            <w:tcW w:w="1708"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服装学院</w:t>
            </w:r>
          </w:p>
          <w:p>
            <w:pPr>
              <w:keepNext w:val="0"/>
              <w:keepLines w:val="0"/>
              <w:pageBreakBefore w:val="0"/>
              <w:kinsoku/>
              <w:wordWrap/>
              <w:topLinePunct w:val="0"/>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阶梯教室</w:t>
            </w:r>
            <w:r>
              <w:rPr>
                <w:rFonts w:hint="eastAsia" w:ascii="宋体" w:hAnsi="宋体" w:eastAsia="宋体" w:cs="宋体"/>
                <w:sz w:val="24"/>
                <w:szCs w:val="24"/>
                <w:lang w:val="en-US" w:eastAsia="zh-CN"/>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lang w:val="en-US"/>
              </w:rPr>
              <w:t>13</w:t>
            </w:r>
          </w:p>
        </w:tc>
        <w:tc>
          <w:tcPr>
            <w:tcW w:w="124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刘国辉</w:t>
            </w:r>
          </w:p>
        </w:tc>
        <w:tc>
          <w:tcPr>
            <w:tcW w:w="1080"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符嘉文</w:t>
            </w:r>
          </w:p>
        </w:tc>
        <w:tc>
          <w:tcPr>
            <w:tcW w:w="3225" w:type="dxa"/>
          </w:tcPr>
          <w:p>
            <w:pPr>
              <w:keepNext w:val="0"/>
              <w:keepLines w:val="0"/>
              <w:pageBreakBefore w:val="0"/>
              <w:kinsoku/>
              <w:wordWrap/>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以教育之强夯实国家富强之基——解读“习近平教育强国思想”</w:t>
            </w:r>
          </w:p>
        </w:tc>
        <w:tc>
          <w:tcPr>
            <w:tcW w:w="1708" w:type="dxa"/>
          </w:tcPr>
          <w:p>
            <w:pPr>
              <w:keepNext w:val="0"/>
              <w:keepLines w:val="0"/>
              <w:pageBreakBefore w:val="0"/>
              <w:kinsoku/>
              <w:wordWrap/>
              <w:topLinePunct w:val="0"/>
              <w:bidi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智慧新农科学院</w:t>
            </w:r>
          </w:p>
          <w:p>
            <w:pPr>
              <w:keepNext w:val="0"/>
              <w:keepLines w:val="0"/>
              <w:pageBreakBefore w:val="0"/>
              <w:kinsoku/>
              <w:wordWrap/>
              <w:topLinePunct w:val="0"/>
              <w:bidi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z107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rPr>
              <w:t>4</w:t>
            </w:r>
          </w:p>
        </w:tc>
        <w:tc>
          <w:tcPr>
            <w:tcW w:w="1249" w:type="dxa"/>
          </w:tcPr>
          <w:p>
            <w:pPr>
              <w:keepNext w:val="0"/>
              <w:keepLines w:val="0"/>
              <w:pageBreakBefore w:val="0"/>
              <w:kinsoku/>
              <w:wordWrap/>
              <w:topLinePunct w:val="0"/>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刘国辉</w:t>
            </w:r>
          </w:p>
        </w:tc>
        <w:tc>
          <w:tcPr>
            <w:tcW w:w="1080"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符嘉文</w:t>
            </w:r>
          </w:p>
        </w:tc>
        <w:tc>
          <w:tcPr>
            <w:tcW w:w="3225" w:type="dxa"/>
          </w:tcPr>
          <w:p>
            <w:pPr>
              <w:keepNext w:val="0"/>
              <w:keepLines w:val="0"/>
              <w:pageBreakBefore w:val="0"/>
              <w:kinsoku/>
              <w:wordWrap/>
              <w:topLinePunct w:val="0"/>
              <w:bidi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全院三年内新进教师“如何做科研”</w:t>
            </w:r>
          </w:p>
        </w:tc>
        <w:tc>
          <w:tcPr>
            <w:tcW w:w="1708" w:type="dxa"/>
          </w:tcPr>
          <w:p>
            <w:pPr>
              <w:keepNext w:val="0"/>
              <w:keepLines w:val="0"/>
              <w:pageBreakBefore w:val="0"/>
              <w:kinsoku/>
              <w:wordWrap/>
              <w:topLinePunct w:val="0"/>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面向全院三年内新进教师（z213）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keepNext w:val="0"/>
              <w:keepLines w:val="0"/>
              <w:pageBreakBefore w:val="0"/>
              <w:kinsoku/>
              <w:wordWrap/>
              <w:topLinePunct w:val="0"/>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249" w:type="dxa"/>
          </w:tcPr>
          <w:p>
            <w:pPr>
              <w:keepNext w:val="0"/>
              <w:keepLines w:val="0"/>
              <w:pageBreakBefore w:val="0"/>
              <w:kinsoku/>
              <w:wordWrap/>
              <w:topLinePunct w:val="0"/>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刘国辉</w:t>
            </w:r>
          </w:p>
        </w:tc>
        <w:tc>
          <w:tcPr>
            <w:tcW w:w="1080" w:type="dxa"/>
          </w:tcPr>
          <w:p>
            <w:pPr>
              <w:keepNext w:val="0"/>
              <w:keepLines w:val="0"/>
              <w:pageBreakBefore w:val="0"/>
              <w:kinsoku/>
              <w:wordWrap/>
              <w:topLinePunct w:val="0"/>
              <w:bidi w:val="0"/>
              <w:spacing w:line="360" w:lineRule="auto"/>
              <w:rPr>
                <w:rFonts w:hint="eastAsia" w:ascii="宋体" w:hAnsi="宋体" w:eastAsia="宋体" w:cs="宋体"/>
                <w:sz w:val="24"/>
                <w:szCs w:val="24"/>
              </w:rPr>
            </w:pPr>
            <w:r>
              <w:rPr>
                <w:rFonts w:hint="eastAsia" w:ascii="宋体" w:hAnsi="宋体" w:eastAsia="宋体" w:cs="宋体"/>
                <w:sz w:val="24"/>
                <w:szCs w:val="24"/>
              </w:rPr>
              <w:t>符嘉文</w:t>
            </w:r>
          </w:p>
        </w:tc>
        <w:tc>
          <w:tcPr>
            <w:tcW w:w="3225" w:type="dxa"/>
          </w:tcPr>
          <w:p>
            <w:pPr>
              <w:keepNext w:val="0"/>
              <w:keepLines w:val="0"/>
              <w:pageBreakBefore w:val="0"/>
              <w:kinsoku/>
              <w:wordWrap/>
              <w:topLinePunct w:val="0"/>
              <w:bidi w:val="0"/>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推动构建人类命运共同体思想</w:t>
            </w:r>
          </w:p>
        </w:tc>
        <w:tc>
          <w:tcPr>
            <w:tcW w:w="1708" w:type="dxa"/>
          </w:tcPr>
          <w:p>
            <w:pPr>
              <w:keepNext w:val="0"/>
              <w:keepLines w:val="0"/>
              <w:pageBreakBefore w:val="0"/>
              <w:kinsoku/>
              <w:wordWrap/>
              <w:topLinePunct w:val="0"/>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面向2023年新进教师培训（z213）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keepNext w:val="0"/>
              <w:keepLines w:val="0"/>
              <w:pageBreakBefore w:val="0"/>
              <w:kinsoku/>
              <w:wordWrap/>
              <w:topLinePunct w:val="0"/>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1249" w:type="dxa"/>
          </w:tcPr>
          <w:p>
            <w:pPr>
              <w:keepNext w:val="0"/>
              <w:keepLines w:val="0"/>
              <w:pageBreakBefore w:val="0"/>
              <w:kinsoku/>
              <w:wordWrap/>
              <w:topLinePunct w:val="0"/>
              <w:bidi w:val="0"/>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刘国辉</w:t>
            </w:r>
          </w:p>
        </w:tc>
        <w:tc>
          <w:tcPr>
            <w:tcW w:w="1080" w:type="dxa"/>
            <w:vAlign w:val="top"/>
          </w:tcPr>
          <w:p>
            <w:pPr>
              <w:keepNext w:val="0"/>
              <w:keepLines w:val="0"/>
              <w:pageBreakBefore w:val="0"/>
              <w:kinsoku/>
              <w:wordWrap/>
              <w:topLinePunct w:val="0"/>
              <w:bidi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符嘉文</w:t>
            </w:r>
          </w:p>
        </w:tc>
        <w:tc>
          <w:tcPr>
            <w:tcW w:w="3225" w:type="dxa"/>
            <w:vAlign w:val="top"/>
          </w:tcPr>
          <w:p>
            <w:pPr>
              <w:keepNext w:val="0"/>
              <w:keepLines w:val="0"/>
              <w:pageBreakBefore w:val="0"/>
              <w:kinsoku/>
              <w:wordWrap/>
              <w:topLinePunct w:val="0"/>
              <w:bidi w:val="0"/>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以教育之强夯实国家富强之基——解读“习近平教育强国思想”</w:t>
            </w:r>
          </w:p>
        </w:tc>
        <w:tc>
          <w:tcPr>
            <w:tcW w:w="1708" w:type="dxa"/>
          </w:tcPr>
          <w:p>
            <w:pPr>
              <w:keepNext w:val="0"/>
              <w:keepLines w:val="0"/>
              <w:pageBreakBefore w:val="0"/>
              <w:kinsoku/>
              <w:wordWrap/>
              <w:topLinePunct w:val="0"/>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面向省主题教育督导组、校领导、二级学院书记（学校四楼会议室）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pPr>
              <w:keepNext w:val="0"/>
              <w:keepLines w:val="0"/>
              <w:pageBreakBefore w:val="0"/>
              <w:kinsoku/>
              <w:wordWrap/>
              <w:topLinePunct w:val="0"/>
              <w:bidi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1249" w:type="dxa"/>
            <w:vAlign w:val="top"/>
          </w:tcPr>
          <w:p>
            <w:pPr>
              <w:keepNext w:val="0"/>
              <w:keepLines w:val="0"/>
              <w:pageBreakBefore w:val="0"/>
              <w:kinsoku/>
              <w:wordWrap/>
              <w:topLinePunct w:val="0"/>
              <w:bidi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陈锡德</w:t>
            </w:r>
          </w:p>
        </w:tc>
        <w:tc>
          <w:tcPr>
            <w:tcW w:w="1080" w:type="dxa"/>
            <w:vAlign w:val="top"/>
          </w:tcPr>
          <w:p>
            <w:pPr>
              <w:keepNext w:val="0"/>
              <w:keepLines w:val="0"/>
              <w:pageBreakBefore w:val="0"/>
              <w:kinsoku/>
              <w:wordWrap/>
              <w:topLinePunct w:val="0"/>
              <w:bidi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符嘉文</w:t>
            </w:r>
          </w:p>
        </w:tc>
        <w:tc>
          <w:tcPr>
            <w:tcW w:w="3225" w:type="dxa"/>
            <w:vAlign w:val="top"/>
          </w:tcPr>
          <w:p>
            <w:pPr>
              <w:keepNext w:val="0"/>
              <w:keepLines w:val="0"/>
              <w:pageBreakBefore w:val="0"/>
              <w:kinsoku/>
              <w:wordWrap/>
              <w:topLinePunct w:val="0"/>
              <w:bidi w:val="0"/>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学习雷锋，大爱担当，守正创新，为实现大艺梦做贡献</w:t>
            </w:r>
          </w:p>
        </w:tc>
        <w:tc>
          <w:tcPr>
            <w:tcW w:w="1708" w:type="dxa"/>
            <w:vAlign w:val="top"/>
          </w:tcPr>
          <w:p>
            <w:pPr>
              <w:keepNext w:val="0"/>
              <w:keepLines w:val="0"/>
              <w:pageBreakBefore w:val="0"/>
              <w:kinsoku/>
              <w:wordWrap/>
              <w:topLinePunct w:val="0"/>
              <w:bidi w:val="0"/>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总务处，后勤处</w:t>
            </w:r>
          </w:p>
        </w:tc>
      </w:tr>
    </w:tbl>
    <w:p>
      <w:pPr>
        <w:pStyle w:val="4"/>
        <w:keepNext w:val="0"/>
        <w:keepLines w:val="0"/>
        <w:pageBreakBefore w:val="0"/>
        <w:widowControl w:val="0"/>
        <w:kinsoku/>
        <w:wordWrap/>
        <w:overflowPunct/>
        <w:topLinePunct w:val="0"/>
        <w:autoSpaceDE/>
        <w:autoSpaceDN/>
        <w:bidi w:val="0"/>
        <w:adjustRightInd/>
        <w:snapToGrid w:val="0"/>
        <w:spacing w:line="360" w:lineRule="auto"/>
        <w:ind w:firstLine="4080" w:firstLineChars="1700"/>
        <w:textAlignment w:val="auto"/>
        <w:rPr>
          <w:rFonts w:hint="eastAsia" w:ascii="宋体" w:hAnsi="宋体" w:eastAsia="宋体" w:cs="宋体"/>
          <w:b w:val="0"/>
          <w:bCs w:val="0"/>
          <w:color w:val="auto"/>
          <w:sz w:val="24"/>
          <w:szCs w:val="24"/>
          <w:lang w:val="en-US" w:eastAsia="zh-CN"/>
        </w:rPr>
      </w:pPr>
    </w:p>
    <w:p>
      <w:pPr>
        <w:pStyle w:val="4"/>
        <w:keepNext w:val="0"/>
        <w:keepLines w:val="0"/>
        <w:pageBreakBefore w:val="0"/>
        <w:widowControl w:val="0"/>
        <w:kinsoku/>
        <w:wordWrap/>
        <w:overflowPunct/>
        <w:topLinePunct w:val="0"/>
        <w:autoSpaceDE/>
        <w:autoSpaceDN/>
        <w:bidi w:val="0"/>
        <w:adjustRightInd/>
        <w:snapToGrid w:val="0"/>
        <w:spacing w:line="360" w:lineRule="auto"/>
        <w:ind w:firstLine="4080" w:firstLineChars="1700"/>
        <w:textAlignment w:val="auto"/>
        <w:rPr>
          <w:rFonts w:hint="eastAsia" w:ascii="宋体" w:hAnsi="宋体" w:eastAsia="宋体" w:cs="宋体"/>
          <w:b w:val="0"/>
          <w:bCs w:val="0"/>
          <w:color w:val="auto"/>
          <w:sz w:val="24"/>
          <w:szCs w:val="24"/>
          <w:lang w:val="en-US" w:eastAsia="zh-CN"/>
        </w:rPr>
      </w:pPr>
    </w:p>
    <w:p>
      <w:pPr>
        <w:pStyle w:val="4"/>
        <w:keepNext w:val="0"/>
        <w:keepLines w:val="0"/>
        <w:pageBreakBefore w:val="0"/>
        <w:widowControl w:val="0"/>
        <w:kinsoku/>
        <w:wordWrap/>
        <w:overflowPunct/>
        <w:topLinePunct w:val="0"/>
        <w:autoSpaceDE/>
        <w:autoSpaceDN/>
        <w:bidi w:val="0"/>
        <w:adjustRightInd/>
        <w:snapToGrid w:val="0"/>
        <w:spacing w:line="360" w:lineRule="auto"/>
        <w:ind w:firstLine="4080" w:firstLineChars="1700"/>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2023年11月20日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42CA27"/>
    <w:multiLevelType w:val="singleLevel"/>
    <w:tmpl w:val="EC42CA2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MTIwZDZmZmE4YTI1OTk1YWY2NGYyODIyOWJmZjUifQ=="/>
  </w:docVars>
  <w:rsids>
    <w:rsidRoot w:val="00000000"/>
    <w:rsid w:val="06444A21"/>
    <w:rsid w:val="104F64B4"/>
    <w:rsid w:val="1C966E61"/>
    <w:rsid w:val="25CE1F4F"/>
    <w:rsid w:val="41035D09"/>
    <w:rsid w:val="419115AC"/>
    <w:rsid w:val="43247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Normal Indent"/>
    <w:basedOn w:val="3"/>
    <w:next w:val="3"/>
    <w:unhideWhenUsed/>
    <w:qFormat/>
    <w:uiPriority w:val="0"/>
    <w:pPr>
      <w:spacing w:line="360" w:lineRule="auto"/>
      <w:ind w:firstLine="420"/>
    </w:pPr>
    <w:rPr>
      <w:rFonts w:ascii="宋体"/>
      <w:sz w:val="28"/>
      <w:szCs w:val="28"/>
    </w:rPr>
  </w:style>
  <w:style w:type="paragraph" w:styleId="3">
    <w:name w:val="Body Text"/>
    <w:basedOn w:val="1"/>
    <w:next w:val="1"/>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2023-11-27T02:37:00Z</dcterms:created>
  <dc:creator>admin</dc:creator>
  <cp:lastModifiedBy>大连大艺任引沁</cp:lastModifiedBy>
  <dcterms:modified xsi:type="dcterms:W3CDTF">2024-01-14T14:42:15Z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6776B2C9BE2D4D5984F45AECDAE5A245_13</vt:lpwstr>
  </property>
</Properties>
</file>